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hint="eastAsia" w:ascii="方正小标宋_GBK" w:hAnsi="宋体" w:eastAsia="方正小标宋_GBK" w:cs="宋体"/>
          <w:bCs/>
          <w:sz w:val="44"/>
          <w:szCs w:val="44"/>
        </w:rPr>
      </w:pPr>
      <w:bookmarkStart w:id="0" w:name="_GoBack"/>
      <w:bookmarkEnd w:id="0"/>
      <w:r>
        <w:rPr>
          <w:rFonts w:hint="eastAsia" w:ascii="方正小标宋_GBK" w:hAnsi="宋体" w:eastAsia="方正小标宋_GBK" w:cs="宋体"/>
          <w:bCs/>
          <w:sz w:val="44"/>
          <w:szCs w:val="44"/>
        </w:rPr>
        <w:t>平顶山市粮食和物资储备局权责清单</w:t>
      </w:r>
    </w:p>
    <w:p>
      <w:pPr>
        <w:rPr>
          <w:rFonts w:hint="eastAsia"/>
        </w:rPr>
      </w:pPr>
    </w:p>
    <w:p>
      <w:pPr>
        <w:spacing w:line="440" w:lineRule="exact"/>
        <w:jc w:val="center"/>
        <w:rPr>
          <w:rFonts w:hint="eastAsia" w:ascii="楷体_GB2312" w:hAnsi="宋体" w:eastAsia="楷体_GB2312" w:cs="宋体"/>
          <w:bCs/>
          <w:sz w:val="36"/>
          <w:szCs w:val="36"/>
        </w:rPr>
      </w:pPr>
      <w:r>
        <w:rPr>
          <w:rFonts w:hint="eastAsia" w:ascii="楷体_GB2312" w:hAnsi="宋体" w:eastAsia="楷体_GB2312" w:cs="宋体"/>
          <w:bCs/>
          <w:sz w:val="36"/>
          <w:szCs w:val="36"/>
        </w:rPr>
        <w:t>（一）行政处罚类（共10项）</w:t>
      </w:r>
    </w:p>
    <w:tbl>
      <w:tblPr>
        <w:tblStyle w:val="9"/>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8"/>
        <w:gridCol w:w="340"/>
        <w:gridCol w:w="3204"/>
        <w:gridCol w:w="609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2"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1068"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544"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09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46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1068"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粮食收购者未及时向售粮者支付售粮款的处罚</w:t>
            </w:r>
          </w:p>
        </w:tc>
        <w:tc>
          <w:tcPr>
            <w:tcW w:w="3544" w:type="dxa"/>
            <w:gridSpan w:val="2"/>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xml:space="preserve">《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 销售质量安全检验” </w:t>
            </w: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465"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1068"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544"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095"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46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3892" w:type="dxa"/>
            <w:gridSpan w:val="6"/>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1408"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204"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09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46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1408" w:type="dxa"/>
            <w:gridSpan w:val="2"/>
            <w:vMerge w:val="restart"/>
            <w:noWrap w:val="0"/>
            <w:vAlign w:val="center"/>
          </w:tcPr>
          <w:p>
            <w:pPr>
              <w:spacing w:line="28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从事粮食收购、销售、储存、加工的粮食经营者以及饲料、工业用粮企业未建立粮食经营台账，或者未按照规定报送粮食基本数据和有关情况的处罚</w:t>
            </w:r>
          </w:p>
        </w:tc>
        <w:tc>
          <w:tcPr>
            <w:tcW w:w="3204"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xml:space="preserve">《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 销售质量安全检验” </w:t>
            </w: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465"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408" w:type="dxa"/>
            <w:gridSpan w:val="2"/>
            <w:vMerge w:val="continue"/>
            <w:noWrap w:val="0"/>
            <w:vAlign w:val="top"/>
          </w:tcPr>
          <w:p>
            <w:pPr>
              <w:spacing w:line="280" w:lineRule="exact"/>
              <w:rPr>
                <w:rFonts w:hint="eastAsia" w:ascii="仿宋_GB2312" w:hAnsi="宋体" w:eastAsia="仿宋_GB2312"/>
                <w:color w:val="000000"/>
                <w:szCs w:val="21"/>
              </w:rPr>
            </w:pPr>
          </w:p>
        </w:tc>
        <w:tc>
          <w:tcPr>
            <w:tcW w:w="320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1408"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204"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095"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46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jc w:val="center"/>
        </w:trPr>
        <w:tc>
          <w:tcPr>
            <w:tcW w:w="13892" w:type="dxa"/>
            <w:gridSpan w:val="6"/>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1068"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544"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09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46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1068"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粮食收购者未执行国家粮食质量标准的处罚</w:t>
            </w:r>
          </w:p>
        </w:tc>
        <w:tc>
          <w:tcPr>
            <w:tcW w:w="3544" w:type="dxa"/>
            <w:gridSpan w:val="2"/>
            <w:vMerge w:val="restart"/>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销售质量安全检验” </w:t>
            </w: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465"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gridSpan w:val="2"/>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1068"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544"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095"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46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3892" w:type="dxa"/>
            <w:gridSpan w:val="6"/>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80" w:lineRule="exact"/>
        <w:jc w:val="left"/>
        <w:rPr>
          <w:rFonts w:hint="eastAsia" w:ascii="黑体" w:hAnsi="黑体" w:eastAsia="黑体"/>
          <w:sz w:val="32"/>
          <w:szCs w:val="32"/>
        </w:rPr>
      </w:pPr>
    </w:p>
    <w:p>
      <w:pPr>
        <w:spacing w:line="580" w:lineRule="exact"/>
        <w:jc w:val="left"/>
        <w:rPr>
          <w:rFonts w:hint="eastAsia" w:ascii="黑体" w:hAnsi="黑体" w:eastAsia="黑体"/>
          <w:sz w:val="32"/>
          <w:szCs w:val="32"/>
        </w:rPr>
      </w:pPr>
    </w:p>
    <w:tbl>
      <w:tblPr>
        <w:tblStyle w:val="9"/>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47"/>
        <w:gridCol w:w="3328"/>
        <w:gridCol w:w="6737"/>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7" w:hRule="atLeast"/>
          <w:jc w:val="center"/>
        </w:trPr>
        <w:tc>
          <w:tcPr>
            <w:tcW w:w="699"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947"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328"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737"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181"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699"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947"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违反《粮食流通管理条例》规定代扣、代缴税、费和其他款项的处罚</w:t>
            </w:r>
          </w:p>
        </w:tc>
        <w:tc>
          <w:tcPr>
            <w:tcW w:w="3328"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xml:space="preserve">《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 销售质量安全检验” </w:t>
            </w: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181"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39"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84"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2"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76"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9"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87" w:hRule="atLeast"/>
          <w:jc w:val="center"/>
        </w:trPr>
        <w:tc>
          <w:tcPr>
            <w:tcW w:w="699" w:type="dxa"/>
            <w:vMerge w:val="continue"/>
            <w:noWrap w:val="0"/>
            <w:vAlign w:val="top"/>
          </w:tcPr>
          <w:p>
            <w:pPr>
              <w:spacing w:line="280" w:lineRule="exact"/>
              <w:rPr>
                <w:rFonts w:hint="eastAsia" w:ascii="仿宋_GB2312" w:hAnsi="宋体" w:eastAsia="仿宋_GB2312"/>
                <w:color w:val="000000"/>
                <w:szCs w:val="21"/>
              </w:rPr>
            </w:pPr>
          </w:p>
        </w:tc>
        <w:tc>
          <w:tcPr>
            <w:tcW w:w="947" w:type="dxa"/>
            <w:vMerge w:val="continue"/>
            <w:noWrap w:val="0"/>
            <w:vAlign w:val="top"/>
          </w:tcPr>
          <w:p>
            <w:pPr>
              <w:spacing w:line="280" w:lineRule="exact"/>
              <w:rPr>
                <w:rFonts w:hint="eastAsia" w:ascii="仿宋_GB2312" w:hAnsi="宋体" w:eastAsia="仿宋_GB2312"/>
                <w:color w:val="000000"/>
                <w:szCs w:val="21"/>
              </w:rPr>
            </w:pPr>
          </w:p>
        </w:tc>
        <w:tc>
          <w:tcPr>
            <w:tcW w:w="3328" w:type="dxa"/>
            <w:vMerge w:val="continue"/>
            <w:noWrap w:val="0"/>
            <w:vAlign w:val="top"/>
          </w:tcPr>
          <w:p>
            <w:pPr>
              <w:spacing w:line="280" w:lineRule="exact"/>
              <w:rPr>
                <w:rFonts w:hint="eastAsia" w:ascii="仿宋_GB2312" w:hAnsi="宋体" w:eastAsia="仿宋_GB2312"/>
                <w:color w:val="000000"/>
                <w:szCs w:val="21"/>
              </w:rPr>
            </w:pPr>
          </w:p>
        </w:tc>
        <w:tc>
          <w:tcPr>
            <w:tcW w:w="6737"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181"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15" w:hRule="atLeast"/>
          <w:jc w:val="center"/>
        </w:trPr>
        <w:tc>
          <w:tcPr>
            <w:tcW w:w="699"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947"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328"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737"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181"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93"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80" w:lineRule="exact"/>
        <w:jc w:val="left"/>
        <w:rPr>
          <w:rFonts w:hint="eastAsia" w:ascii="黑体" w:hAnsi="黑体" w:eastAsia="黑体"/>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
        <w:gridCol w:w="2901"/>
        <w:gridCol w:w="6300"/>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699"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2901"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30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3272"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699" w:type="dxa"/>
            <w:vMerge w:val="restart"/>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未按规定使用粮食仓储设施、运输工具的处罚</w:t>
            </w:r>
          </w:p>
        </w:tc>
        <w:tc>
          <w:tcPr>
            <w:tcW w:w="2901" w:type="dxa"/>
            <w:vMerge w:val="restart"/>
            <w:noWrap w:val="0"/>
            <w:vAlign w:val="center"/>
          </w:tcPr>
          <w:p>
            <w:pPr>
              <w:spacing w:line="28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粮食流通管理条例》（国务院令第740号，2021年1月4日国务院第121次常务会议修订通过）第四十六条：粮食收购者、粮食储存企业未按照本条例规定使用粮食仓储设施、运输工具的，由粮食行政管理部门或者卫生部门责令改正，给予警告；被污染的粮食不得非法销售、加工。 " </w:t>
            </w: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3272"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699" w:type="dxa"/>
            <w:vMerge w:val="continue"/>
            <w:noWrap w:val="0"/>
            <w:vAlign w:val="top"/>
          </w:tcPr>
          <w:p>
            <w:pPr>
              <w:spacing w:line="280" w:lineRule="exact"/>
              <w:rPr>
                <w:rFonts w:hint="eastAsia" w:ascii="仿宋_GB2312" w:hAnsi="宋体" w:eastAsia="仿宋_GB2312"/>
                <w:color w:val="000000"/>
                <w:szCs w:val="21"/>
              </w:rPr>
            </w:pPr>
          </w:p>
        </w:tc>
        <w:tc>
          <w:tcPr>
            <w:tcW w:w="2901"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99"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2901"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300"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3272"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93"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80" w:lineRule="exact"/>
        <w:jc w:val="left"/>
        <w:rPr>
          <w:rFonts w:hint="eastAsia" w:ascii="黑体" w:hAnsi="黑体" w:eastAsia="黑体"/>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2"/>
        <w:gridCol w:w="2618"/>
        <w:gridCol w:w="6300"/>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982"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2618"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30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3272"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982" w:type="dxa"/>
            <w:vMerge w:val="restart"/>
            <w:noWrap w:val="0"/>
            <w:vAlign w:val="center"/>
          </w:tcPr>
          <w:p>
            <w:pPr>
              <w:spacing w:line="280" w:lineRule="exact"/>
              <w:rPr>
                <w:rFonts w:ascii="仿宋_GB2312" w:hAnsi="宋体" w:eastAsia="仿宋_GB2312"/>
                <w:color w:val="000000"/>
                <w:szCs w:val="21"/>
              </w:rPr>
            </w:pPr>
            <w:r>
              <w:rPr>
                <w:rFonts w:hint="eastAsia" w:ascii="仿宋_GB2312" w:hAnsi="宋体" w:eastAsia="仿宋_GB2312"/>
                <w:color w:val="000000"/>
                <w:szCs w:val="21"/>
              </w:rPr>
              <w:t>未按照规定备案或者提供虚假备案信息的处罚</w:t>
            </w:r>
          </w:p>
          <w:p>
            <w:pPr>
              <w:spacing w:line="280" w:lineRule="exact"/>
              <w:rPr>
                <w:rFonts w:ascii="仿宋_GB2312" w:hAnsi="宋体" w:eastAsia="仿宋_GB2312"/>
                <w:color w:val="000000"/>
                <w:szCs w:val="21"/>
              </w:rPr>
            </w:pPr>
          </w:p>
          <w:p>
            <w:pPr>
              <w:spacing w:line="280" w:lineRule="exact"/>
              <w:rPr>
                <w:rFonts w:ascii="仿宋_GB2312" w:hAnsi="宋体" w:eastAsia="仿宋_GB2312"/>
                <w:color w:val="000000"/>
                <w:szCs w:val="21"/>
              </w:rPr>
            </w:pPr>
          </w:p>
          <w:p>
            <w:pPr>
              <w:spacing w:line="280" w:lineRule="exact"/>
              <w:rPr>
                <w:rFonts w:ascii="仿宋_GB2312" w:hAnsi="宋体" w:eastAsia="仿宋_GB2312"/>
                <w:color w:val="000000"/>
                <w:szCs w:val="21"/>
              </w:rPr>
            </w:pPr>
          </w:p>
          <w:p>
            <w:pPr>
              <w:spacing w:line="280" w:lineRule="exact"/>
              <w:rPr>
                <w:rFonts w:ascii="仿宋_GB2312" w:hAnsi="宋体" w:eastAsia="仿宋_GB2312"/>
                <w:color w:val="000000"/>
                <w:szCs w:val="21"/>
              </w:rPr>
            </w:pPr>
          </w:p>
          <w:p>
            <w:pPr>
              <w:spacing w:line="280" w:lineRule="exact"/>
              <w:rPr>
                <w:rFonts w:ascii="仿宋_GB2312" w:hAnsi="宋体" w:eastAsia="仿宋_GB2312"/>
                <w:color w:val="000000"/>
                <w:szCs w:val="21"/>
              </w:rPr>
            </w:pPr>
          </w:p>
          <w:p>
            <w:pPr>
              <w:spacing w:line="280" w:lineRule="exact"/>
              <w:rPr>
                <w:rFonts w:hint="eastAsia" w:ascii="仿宋_GB2312" w:hAnsi="宋体" w:eastAsia="仿宋_GB2312"/>
                <w:color w:val="000000"/>
                <w:szCs w:val="21"/>
              </w:rPr>
            </w:pPr>
          </w:p>
        </w:tc>
        <w:tc>
          <w:tcPr>
            <w:tcW w:w="2618" w:type="dxa"/>
            <w:vMerge w:val="restart"/>
            <w:noWrap w:val="0"/>
            <w:vAlign w:val="center"/>
          </w:tcPr>
          <w:p>
            <w:pPr>
              <w:spacing w:line="28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粮食流通管理条例》（国务院令第740号，2021年1月4日国务院第121次常务会议修订通过）《粮食流通管理条例》第四十三条：“粮食收购企业未按照规定备案或者提供虚假备案信息的，由粮食和储备行政管理部门责令改正，给予警告；拒不改正的，处2万元以上5万元以下罚款”</w:t>
            </w: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3272"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982" w:type="dxa"/>
            <w:vMerge w:val="continue"/>
            <w:noWrap w:val="0"/>
            <w:vAlign w:val="top"/>
          </w:tcPr>
          <w:p>
            <w:pPr>
              <w:spacing w:line="280" w:lineRule="exact"/>
              <w:rPr>
                <w:rFonts w:hint="eastAsia" w:ascii="仿宋_GB2312" w:hAnsi="宋体" w:eastAsia="仿宋_GB2312"/>
                <w:color w:val="000000"/>
                <w:szCs w:val="21"/>
              </w:rPr>
            </w:pPr>
          </w:p>
        </w:tc>
        <w:tc>
          <w:tcPr>
            <w:tcW w:w="2618" w:type="dxa"/>
            <w:vMerge w:val="continue"/>
            <w:noWrap w:val="0"/>
            <w:vAlign w:val="top"/>
          </w:tcPr>
          <w:p>
            <w:pPr>
              <w:spacing w:line="280" w:lineRule="exact"/>
              <w:rPr>
                <w:rFonts w:hint="eastAsia" w:ascii="仿宋_GB2312" w:hAnsi="宋体" w:eastAsia="仿宋_GB2312"/>
                <w:color w:val="000000"/>
                <w:szCs w:val="21"/>
              </w:rPr>
            </w:pPr>
          </w:p>
        </w:tc>
        <w:tc>
          <w:tcPr>
            <w:tcW w:w="630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3272"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982"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2618"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300"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3272"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93"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80" w:lineRule="exact"/>
        <w:jc w:val="left"/>
        <w:rPr>
          <w:rFonts w:hint="eastAsia" w:ascii="黑体" w:hAnsi="黑体" w:eastAsia="黑体"/>
          <w:sz w:val="32"/>
          <w:szCs w:val="32"/>
        </w:rPr>
      </w:pPr>
    </w:p>
    <w:p>
      <w:pPr>
        <w:spacing w:line="580" w:lineRule="exact"/>
        <w:jc w:val="left"/>
        <w:rPr>
          <w:rFonts w:hint="eastAsia" w:ascii="黑体" w:hAnsi="黑体" w:eastAsia="黑体"/>
          <w:sz w:val="32"/>
          <w:szCs w:val="32"/>
        </w:rPr>
      </w:pPr>
    </w:p>
    <w:tbl>
      <w:tblPr>
        <w:tblStyle w:val="9"/>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
        <w:gridCol w:w="785"/>
        <w:gridCol w:w="197"/>
        <w:gridCol w:w="2921"/>
        <w:gridCol w:w="36"/>
        <w:gridCol w:w="639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7" w:hRule="atLeast"/>
          <w:jc w:val="center"/>
        </w:trPr>
        <w:tc>
          <w:tcPr>
            <w:tcW w:w="720"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982"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2957"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39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84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720" w:type="dxa"/>
            <w:gridSpan w:val="2"/>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982" w:type="dxa"/>
            <w:gridSpan w:val="2"/>
            <w:vMerge w:val="restart"/>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粮食收购者收购粮食，未按照国家有关规定进行质量安全检验，或者对不符合食品安全标准的粮食未作为非食用用途单独存放的处罚</w:t>
            </w:r>
          </w:p>
        </w:tc>
        <w:tc>
          <w:tcPr>
            <w:tcW w:w="2957" w:type="dxa"/>
            <w:gridSpan w:val="2"/>
            <w:vMerge w:val="restart"/>
            <w:noWrap w:val="0"/>
            <w:vAlign w:val="center"/>
          </w:tcPr>
          <w:p>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 销售质量安全检验”</w:t>
            </w:r>
          </w:p>
          <w:p>
            <w:pPr>
              <w:spacing w:line="280" w:lineRule="exact"/>
              <w:rPr>
                <w:rFonts w:hint="eastAsia" w:ascii="仿宋_GB2312" w:hAnsi="宋体" w:eastAsia="仿宋_GB2312"/>
                <w:color w:val="000000"/>
                <w:sz w:val="18"/>
                <w:szCs w:val="18"/>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843"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39"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84"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2"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76"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9"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87" w:hRule="atLeast"/>
          <w:jc w:val="center"/>
        </w:trPr>
        <w:tc>
          <w:tcPr>
            <w:tcW w:w="720" w:type="dxa"/>
            <w:gridSpan w:val="2"/>
            <w:vMerge w:val="continue"/>
            <w:noWrap w:val="0"/>
            <w:vAlign w:val="top"/>
          </w:tcPr>
          <w:p>
            <w:pPr>
              <w:spacing w:line="280" w:lineRule="exact"/>
              <w:rPr>
                <w:rFonts w:hint="eastAsia" w:ascii="仿宋_GB2312" w:hAnsi="宋体" w:eastAsia="仿宋_GB2312"/>
                <w:color w:val="000000"/>
                <w:szCs w:val="21"/>
              </w:rPr>
            </w:pPr>
          </w:p>
        </w:tc>
        <w:tc>
          <w:tcPr>
            <w:tcW w:w="982" w:type="dxa"/>
            <w:gridSpan w:val="2"/>
            <w:vMerge w:val="continue"/>
            <w:noWrap w:val="0"/>
            <w:vAlign w:val="top"/>
          </w:tcPr>
          <w:p>
            <w:pPr>
              <w:spacing w:line="280" w:lineRule="exact"/>
              <w:rPr>
                <w:rFonts w:hint="eastAsia" w:ascii="仿宋_GB2312" w:hAnsi="宋体" w:eastAsia="仿宋_GB2312"/>
                <w:color w:val="000000"/>
                <w:szCs w:val="21"/>
              </w:rPr>
            </w:pPr>
          </w:p>
        </w:tc>
        <w:tc>
          <w:tcPr>
            <w:tcW w:w="2957" w:type="dxa"/>
            <w:gridSpan w:val="2"/>
            <w:vMerge w:val="continue"/>
            <w:noWrap w:val="0"/>
            <w:vAlign w:val="top"/>
          </w:tcPr>
          <w:p>
            <w:pPr>
              <w:spacing w:line="280" w:lineRule="exact"/>
              <w:rPr>
                <w:rFonts w:hint="eastAsia" w:ascii="仿宋_GB2312" w:hAnsi="宋体" w:eastAsia="仿宋_GB2312"/>
                <w:color w:val="000000"/>
                <w:szCs w:val="21"/>
              </w:rPr>
            </w:pPr>
          </w:p>
        </w:tc>
        <w:tc>
          <w:tcPr>
            <w:tcW w:w="6390"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15" w:hRule="atLeast"/>
          <w:jc w:val="center"/>
        </w:trPr>
        <w:tc>
          <w:tcPr>
            <w:tcW w:w="720"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982"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2957"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390"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84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93" w:hRule="atLeast"/>
          <w:jc w:val="center"/>
        </w:trPr>
        <w:tc>
          <w:tcPr>
            <w:tcW w:w="13892" w:type="dxa"/>
            <w:gridSpan w:val="8"/>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7" w:hRule="atLeast"/>
          <w:jc w:val="center"/>
        </w:trPr>
        <w:tc>
          <w:tcPr>
            <w:tcW w:w="654"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851"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118"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426" w:type="dxa"/>
            <w:gridSpan w:val="2"/>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84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654"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851" w:type="dxa"/>
            <w:gridSpan w:val="2"/>
            <w:vMerge w:val="restart"/>
            <w:noWrap w:val="0"/>
            <w:vAlign w:val="center"/>
          </w:tcPr>
          <w:p>
            <w:pPr>
              <w:rPr>
                <w:rFonts w:hint="eastAsia" w:ascii="仿宋_GB2312" w:hAnsi="宋体" w:eastAsia="仿宋_GB2312"/>
                <w:color w:val="000000"/>
                <w:szCs w:val="21"/>
              </w:rPr>
            </w:pPr>
            <w:r>
              <w:rPr>
                <w:rFonts w:hint="eastAsia" w:ascii="仿宋_GB2312" w:hAnsi="宋体" w:eastAsia="仿宋_GB2312"/>
                <w:color w:val="000000"/>
                <w:szCs w:val="21"/>
              </w:rPr>
              <w:t>粮食储存企业未按照规定进行粮食销售出库质量安全检验的处罚</w:t>
            </w:r>
          </w:p>
          <w:p>
            <w:pPr>
              <w:spacing w:line="280" w:lineRule="exact"/>
              <w:rPr>
                <w:rFonts w:ascii="仿宋_GB2312" w:hAnsi="宋体" w:eastAsia="仿宋_GB2312"/>
                <w:color w:val="000000"/>
                <w:szCs w:val="21"/>
              </w:rPr>
            </w:pPr>
          </w:p>
          <w:p>
            <w:pPr>
              <w:spacing w:line="280" w:lineRule="exact"/>
              <w:rPr>
                <w:rFonts w:hint="eastAsia" w:ascii="仿宋_GB2312" w:hAnsi="宋体" w:eastAsia="仿宋_GB2312"/>
                <w:color w:val="000000"/>
                <w:szCs w:val="21"/>
              </w:rPr>
            </w:pPr>
          </w:p>
        </w:tc>
        <w:tc>
          <w:tcPr>
            <w:tcW w:w="3118" w:type="dxa"/>
            <w:gridSpan w:val="2"/>
            <w:vMerge w:val="restart"/>
            <w:noWrap w:val="0"/>
            <w:vAlign w:val="center"/>
          </w:tcPr>
          <w:p>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粮食流通管理条例》（国务院令第740号，2021年1月4日国务院第121次常务会议修订通过）第四十五条：“有下列情形之一的，由粮食和储备行政管理部门责令改正，给予警告，可以并20万元以下的罚款；情节严重的，并处20万元以上50万元以下罚款：(一)粮食收购者未执行国家粮食质量标准的；(二)粮食收购未及时向售粮者支付售粮款的；(三)粮食收购者违反本条例规定代扣、代缴税、费和其他款项的；（四）粮食收购者收购粮食，未按照国家有关规定进行质量安全检测，或者对不符合食品安全标准的粮食未作为非食用用途单独存放的；(五)从事粮食收购、销售、储存、加工的粮食经营者以及饲料、工业用粮企业未建立粮食经营台账，或者未按照规定报送粮食基本数据和有关情况的；(六)粮食储存企业未按照规定进行粮食 销售质量安全检验</w:t>
            </w:r>
          </w:p>
          <w:p>
            <w:pPr>
              <w:spacing w:line="280" w:lineRule="exact"/>
              <w:rPr>
                <w:rFonts w:ascii="仿宋_GB2312" w:hAnsi="宋体" w:eastAsia="仿宋_GB2312"/>
                <w:color w:val="000000"/>
                <w:sz w:val="18"/>
                <w:szCs w:val="18"/>
              </w:rPr>
            </w:pPr>
          </w:p>
          <w:p>
            <w:pPr>
              <w:spacing w:line="280" w:lineRule="exact"/>
              <w:jc w:val="center"/>
              <w:rPr>
                <w:rFonts w:hint="eastAsia" w:ascii="仿宋_GB2312" w:hAnsi="宋体" w:eastAsia="仿宋_GB2312"/>
                <w:color w:val="000000"/>
                <w:sz w:val="18"/>
                <w:szCs w:val="18"/>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843"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39"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84"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2"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76"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9"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87" w:hRule="atLeast"/>
          <w:jc w:val="center"/>
        </w:trPr>
        <w:tc>
          <w:tcPr>
            <w:tcW w:w="654" w:type="dxa"/>
            <w:vMerge w:val="continue"/>
            <w:noWrap w:val="0"/>
            <w:vAlign w:val="top"/>
          </w:tcPr>
          <w:p>
            <w:pPr>
              <w:spacing w:line="280" w:lineRule="exact"/>
              <w:rPr>
                <w:rFonts w:hint="eastAsia" w:ascii="仿宋_GB2312" w:hAnsi="宋体" w:eastAsia="仿宋_GB2312"/>
                <w:color w:val="000000"/>
                <w:szCs w:val="21"/>
              </w:rPr>
            </w:pPr>
          </w:p>
        </w:tc>
        <w:tc>
          <w:tcPr>
            <w:tcW w:w="851" w:type="dxa"/>
            <w:gridSpan w:val="2"/>
            <w:vMerge w:val="continue"/>
            <w:noWrap w:val="0"/>
            <w:vAlign w:val="top"/>
          </w:tcPr>
          <w:p>
            <w:pPr>
              <w:spacing w:line="280" w:lineRule="exact"/>
              <w:rPr>
                <w:rFonts w:hint="eastAsia" w:ascii="仿宋_GB2312" w:hAnsi="宋体" w:eastAsia="仿宋_GB2312"/>
                <w:color w:val="000000"/>
                <w:szCs w:val="21"/>
              </w:rPr>
            </w:pPr>
          </w:p>
        </w:tc>
        <w:tc>
          <w:tcPr>
            <w:tcW w:w="3118" w:type="dxa"/>
            <w:gridSpan w:val="2"/>
            <w:vMerge w:val="continue"/>
            <w:noWrap w:val="0"/>
            <w:vAlign w:val="top"/>
          </w:tcPr>
          <w:p>
            <w:pPr>
              <w:spacing w:line="280" w:lineRule="exact"/>
              <w:rPr>
                <w:rFonts w:hint="eastAsia" w:ascii="仿宋_GB2312" w:hAnsi="宋体" w:eastAsia="仿宋_GB2312"/>
                <w:color w:val="000000"/>
                <w:szCs w:val="21"/>
              </w:rPr>
            </w:pPr>
          </w:p>
        </w:tc>
        <w:tc>
          <w:tcPr>
            <w:tcW w:w="6426" w:type="dxa"/>
            <w:gridSpan w:val="2"/>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84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15" w:hRule="atLeast"/>
          <w:jc w:val="center"/>
        </w:trPr>
        <w:tc>
          <w:tcPr>
            <w:tcW w:w="654"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851"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118" w:type="dxa"/>
            <w:gridSpan w:val="2"/>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426" w:type="dxa"/>
            <w:gridSpan w:val="2"/>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84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93" w:hRule="atLeast"/>
          <w:jc w:val="center"/>
        </w:trPr>
        <w:tc>
          <w:tcPr>
            <w:tcW w:w="13892" w:type="dxa"/>
            <w:gridSpan w:val="8"/>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80" w:lineRule="exact"/>
        <w:jc w:val="left"/>
        <w:rPr>
          <w:rFonts w:hint="eastAsia" w:ascii="黑体" w:hAnsi="黑体" w:eastAsia="黑体"/>
          <w:sz w:val="32"/>
          <w:szCs w:val="32"/>
        </w:rPr>
      </w:pPr>
    </w:p>
    <w:p>
      <w:pPr>
        <w:spacing w:line="580" w:lineRule="exact"/>
        <w:jc w:val="left"/>
        <w:rPr>
          <w:rFonts w:hint="eastAsia" w:ascii="黑体" w:hAnsi="黑体" w:eastAsia="黑体"/>
          <w:sz w:val="32"/>
          <w:szCs w:val="32"/>
        </w:rPr>
      </w:pPr>
    </w:p>
    <w:tbl>
      <w:tblPr>
        <w:tblStyle w:val="9"/>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85"/>
        <w:gridCol w:w="3543"/>
        <w:gridCol w:w="6521"/>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78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54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521"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32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785" w:type="dxa"/>
            <w:vMerge w:val="restart"/>
            <w:noWrap w:val="0"/>
            <w:vAlign w:val="center"/>
          </w:tcPr>
          <w:p>
            <w:pPr>
              <w:spacing w:line="280" w:lineRule="exact"/>
              <w:rPr>
                <w:rFonts w:ascii="仿宋_GB2312" w:hAnsi="宋体" w:eastAsia="仿宋_GB2312"/>
                <w:color w:val="000000"/>
                <w:szCs w:val="21"/>
              </w:rPr>
            </w:pPr>
            <w:r>
              <w:rPr>
                <w:rFonts w:hint="eastAsia" w:ascii="仿宋_GB2312" w:hAnsi="宋体" w:eastAsia="仿宋_GB2312"/>
                <w:color w:val="000000"/>
                <w:szCs w:val="21"/>
              </w:rPr>
              <w:t>粮食收购者、粮食储存企业将问题粮食作为食用用途出库的处罚</w:t>
            </w:r>
          </w:p>
          <w:p>
            <w:pPr>
              <w:spacing w:line="280" w:lineRule="exact"/>
              <w:rPr>
                <w:rFonts w:hint="eastAsia" w:ascii="仿宋_GB2312" w:hAnsi="宋体" w:eastAsia="仿宋_GB2312"/>
                <w:color w:val="000000"/>
                <w:szCs w:val="21"/>
              </w:rPr>
            </w:pPr>
          </w:p>
        </w:tc>
        <w:tc>
          <w:tcPr>
            <w:tcW w:w="3543" w:type="dxa"/>
            <w:vMerge w:val="restart"/>
            <w:noWrap w:val="0"/>
            <w:vAlign w:val="center"/>
          </w:tcPr>
          <w:p>
            <w:pPr>
              <w:spacing w:line="28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粮食流通管理条例》（国务院令第740号，2021年1月4日国务院第121次常务会议修订通过）第四十七条：“粮食收购者、粮食储存企业将下列粮食作为食用用途出库的，由粮食和储备行政管理部门没收违法所得；违法销售出库的粮食货值金额不足1万元的，并处1万元以上5万元以下罚款，货值金额1万元以上的，并处货值金额1倍以上5倍以下罚款：（一）真菌毒素、农药残留、重金属等污染物质以及其他危害人体健康的物质含量超过食品安全标准限量的；（二）霉变货值色泽、气味异常的；(三）储存期间使用储粮药剂未满安全间隔期的；（四）被包装材料、容器、运输工具等污染的：（五）其他法律、法规或者国家有关规定明确不得作为食用用途销售的。”</w:t>
            </w: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323"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78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54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521"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32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3"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78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54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521"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323"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处</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罚</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785" w:type="dxa"/>
            <w:vMerge w:val="restart"/>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对从事政策性粮食经营活动行为违反有关规定的处罚</w:t>
            </w:r>
          </w:p>
        </w:tc>
        <w:tc>
          <w:tcPr>
            <w:tcW w:w="3543" w:type="dxa"/>
            <w:vMerge w:val="restart"/>
            <w:noWrap w:val="0"/>
            <w:vAlign w:val="center"/>
          </w:tcPr>
          <w:p>
            <w:pPr>
              <w:spacing w:line="28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粮食流通管理条例》（国务院令第740号，2021年1月4日国务院第121次常务会议修订通过）第四十九条：“从事政策性粮食经营活动，有下列情况之一的，由粮食和储备管理部门责令改正，给予警告，没收违法所得，并处50万元以上200万元以下罚款；情节严重的，并处200万元以上500万元以下罚款：（一）虚报粮食收购数量；（二）通过以陈顶新、以次充好、低收高转、虚假购销、虚假轮换、违规倒卖的方式，套取粮食价差和财政补贴，骗取信贷资金；（三）挤占、挪用、克扣财政补贴、信贷资金；（四）以政策性粮食为债务作担保或者清偿债务；（五）以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粮食应急预案启动后，不按照国家要求承担应急任务，不服从国家的统一安排和调度的，依照前款规定予以处罚。”</w:t>
            </w: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323"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785" w:type="dxa"/>
            <w:vMerge w:val="continue"/>
            <w:noWrap w:val="0"/>
            <w:vAlign w:val="top"/>
          </w:tcPr>
          <w:p>
            <w:pPr>
              <w:spacing w:line="280" w:lineRule="exact"/>
              <w:rPr>
                <w:rFonts w:hint="eastAsia" w:ascii="仿宋_GB2312" w:hAnsi="宋体" w:eastAsia="仿宋_GB2312"/>
                <w:color w:val="000000"/>
                <w:szCs w:val="21"/>
              </w:rPr>
            </w:pPr>
          </w:p>
        </w:tc>
        <w:tc>
          <w:tcPr>
            <w:tcW w:w="3543" w:type="dxa"/>
            <w:vMerge w:val="continue"/>
            <w:noWrap w:val="0"/>
            <w:vAlign w:val="top"/>
          </w:tcPr>
          <w:p>
            <w:pPr>
              <w:spacing w:line="280" w:lineRule="exact"/>
              <w:rPr>
                <w:rFonts w:hint="eastAsia" w:ascii="仿宋_GB2312" w:hAnsi="宋体" w:eastAsia="仿宋_GB2312"/>
                <w:color w:val="000000"/>
                <w:szCs w:val="21"/>
              </w:rPr>
            </w:pPr>
          </w:p>
        </w:tc>
        <w:tc>
          <w:tcPr>
            <w:tcW w:w="6521"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323"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3"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78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54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521"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323"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6"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440" w:lineRule="exact"/>
        <w:jc w:val="center"/>
        <w:rPr>
          <w:rFonts w:hint="eastAsia" w:ascii="楷体_GB2312" w:hAnsi="宋体" w:eastAsia="楷体_GB2312" w:cs="宋体"/>
          <w:bCs/>
          <w:sz w:val="36"/>
          <w:szCs w:val="36"/>
        </w:rPr>
      </w:pPr>
      <w:r>
        <w:rPr>
          <w:rFonts w:hint="eastAsia" w:ascii="楷体_GB2312" w:hAnsi="宋体" w:eastAsia="楷体_GB2312" w:cs="宋体"/>
          <w:bCs/>
          <w:sz w:val="36"/>
          <w:szCs w:val="36"/>
        </w:rPr>
        <w:t>（二）行政检查类（共1项）</w:t>
      </w:r>
    </w:p>
    <w:tbl>
      <w:tblPr>
        <w:tblStyle w:val="9"/>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8"/>
        <w:gridCol w:w="3544"/>
        <w:gridCol w:w="609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7" w:hRule="atLeast"/>
          <w:jc w:val="center"/>
        </w:trPr>
        <w:tc>
          <w:tcPr>
            <w:tcW w:w="720"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w:t>
            </w:r>
          </w:p>
          <w:p>
            <w:pPr>
              <w:spacing w:line="280" w:lineRule="exact"/>
              <w:jc w:val="center"/>
              <w:rPr>
                <w:rFonts w:hint="eastAsia" w:ascii="宋体" w:hAnsi="宋体" w:cs="宋体"/>
                <w:color w:val="000000"/>
                <w:szCs w:val="21"/>
              </w:rPr>
            </w:pPr>
            <w:r>
              <w:rPr>
                <w:rFonts w:hint="eastAsia" w:ascii="宋体" w:hAnsi="宋体" w:cs="宋体"/>
                <w:color w:val="000000"/>
                <w:szCs w:val="21"/>
              </w:rPr>
              <w:t>类别</w:t>
            </w:r>
          </w:p>
        </w:tc>
        <w:tc>
          <w:tcPr>
            <w:tcW w:w="1068"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职权名称</w:t>
            </w:r>
          </w:p>
        </w:tc>
        <w:tc>
          <w:tcPr>
            <w:tcW w:w="3544"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实施依据</w:t>
            </w:r>
          </w:p>
        </w:tc>
        <w:tc>
          <w:tcPr>
            <w:tcW w:w="609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责任事项</w:t>
            </w:r>
          </w:p>
        </w:tc>
        <w:tc>
          <w:tcPr>
            <w:tcW w:w="2465" w:type="dxa"/>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违法责任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5" w:hRule="atLeast"/>
          <w:jc w:val="center"/>
        </w:trPr>
        <w:tc>
          <w:tcPr>
            <w:tcW w:w="720"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行</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检</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查</w:t>
            </w:r>
          </w:p>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类</w:t>
            </w:r>
          </w:p>
        </w:tc>
        <w:tc>
          <w:tcPr>
            <w:tcW w:w="1068"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对粮食经营者从事粮食收购、储存、运输活动和政策性粮食的购销活动，以及执行国家粮食流通统计制度的情况进行监督检查</w:t>
            </w:r>
          </w:p>
        </w:tc>
        <w:tc>
          <w:tcPr>
            <w:tcW w:w="3544" w:type="dxa"/>
            <w:vMerge w:val="restart"/>
            <w:noWrap w:val="0"/>
            <w:vAlign w:val="center"/>
          </w:tcPr>
          <w:p>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粮食流通管理条例》（国务院令第740号，2021年1月4日国务院第121次常务会议修订通过）第三十八条;“粮食和储备行政管理部门依照本条例对粮食经营者从事粮食收购、储存、运输活动和政策性粮食的购销活动，以及执行国家粮食流通统计制度的情况进行监督检查”</w:t>
            </w: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1.立案责任：执法监督科对检查中发现、群众举报投诉或经有关部门移送的此类违法案件予以审查；经机关负责人批准，决定是否立案。</w:t>
            </w:r>
          </w:p>
        </w:tc>
        <w:tc>
          <w:tcPr>
            <w:tcW w:w="2465" w:type="dxa"/>
            <w:vMerge w:val="restart"/>
            <w:noWrap w:val="0"/>
            <w:vAlign w:val="top"/>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行政机关未履行法定职责或者违法行使职权的，由上级行政机关责令改正或者限期改正，给予通报批评、取消评先评优资格等处理；符合法定情形的，依法承担行政赔偿责任。</w:t>
            </w:r>
          </w:p>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 xml:space="preserve">    行政执法人员未履行职责或者违法行使职权，情节轻微的，由本机关或者上级机关诫勉谈话、批评教育、责令写出书面检查、通报批评或者离岗培训、收回《河南省行政执法证》、调离执法岗位或者取消执法资格等处理;情节较重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2.调查责任：执法监督科指定专人调查取证；执法人员不得少于两人；调查取证时应出示执法证件；依法需要听证的，告知当事人听证权；允许当事人陈述申辩；形成调查终结报告。</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4"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3.审查责任：政策法规科对案件违法事实、证据、调查取证、法律适用、处罚种类和幅度、当事人陈述理由等进行法制审核，提出处理意见。</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4.告知责任：在作出行政处罚决定前，书面告知当事人拟做出处罚决定的事实、理由、依据、处罚内容，以及当事人享有的陈述权、申辩权、听证权等。</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5.决定责任：依法需要给予行政处罚的，经机关负责人批准，制作《行政处罚决定书》，载明违法事实和证据、处罚依据和内容、权利救济途径和期限等内容。</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6.送达责任：7日内，执法监督科依法将行政处罚决定书送达当事人。</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7" w:hRule="atLeast"/>
          <w:jc w:val="center"/>
        </w:trPr>
        <w:tc>
          <w:tcPr>
            <w:tcW w:w="720" w:type="dxa"/>
            <w:vMerge w:val="continue"/>
            <w:noWrap w:val="0"/>
            <w:vAlign w:val="top"/>
          </w:tcPr>
          <w:p>
            <w:pPr>
              <w:spacing w:line="280" w:lineRule="exact"/>
              <w:rPr>
                <w:rFonts w:hint="eastAsia" w:ascii="仿宋_GB2312" w:hAnsi="宋体" w:eastAsia="仿宋_GB2312"/>
                <w:color w:val="000000"/>
                <w:szCs w:val="21"/>
              </w:rPr>
            </w:pPr>
          </w:p>
        </w:tc>
        <w:tc>
          <w:tcPr>
            <w:tcW w:w="1068" w:type="dxa"/>
            <w:vMerge w:val="continue"/>
            <w:noWrap w:val="0"/>
            <w:vAlign w:val="top"/>
          </w:tcPr>
          <w:p>
            <w:pPr>
              <w:spacing w:line="280" w:lineRule="exact"/>
              <w:rPr>
                <w:rFonts w:hint="eastAsia" w:ascii="仿宋_GB2312" w:hAnsi="宋体" w:eastAsia="仿宋_GB2312"/>
                <w:color w:val="000000"/>
                <w:szCs w:val="21"/>
              </w:rPr>
            </w:pPr>
          </w:p>
        </w:tc>
        <w:tc>
          <w:tcPr>
            <w:tcW w:w="3544" w:type="dxa"/>
            <w:vMerge w:val="continue"/>
            <w:noWrap w:val="0"/>
            <w:vAlign w:val="top"/>
          </w:tcPr>
          <w:p>
            <w:pPr>
              <w:spacing w:line="280" w:lineRule="exact"/>
              <w:rPr>
                <w:rFonts w:hint="eastAsia" w:ascii="仿宋_GB2312" w:hAnsi="宋体" w:eastAsia="仿宋_GB2312"/>
                <w:color w:val="000000"/>
                <w:szCs w:val="21"/>
              </w:rPr>
            </w:pPr>
          </w:p>
        </w:tc>
        <w:tc>
          <w:tcPr>
            <w:tcW w:w="6095" w:type="dxa"/>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7.执行责任：监督当事人在法定期限内履行生效的行政处罚决定。当事人在法定期限内没有申请行政复议或提起行政诉讼，又不履行的，可申请人民法院强制执行。</w:t>
            </w:r>
          </w:p>
        </w:tc>
        <w:tc>
          <w:tcPr>
            <w:tcW w:w="2465" w:type="dxa"/>
            <w:vMerge w:val="continue"/>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 w:hRule="atLeast"/>
          <w:jc w:val="center"/>
        </w:trPr>
        <w:tc>
          <w:tcPr>
            <w:tcW w:w="720"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1068"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3544"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c>
          <w:tcPr>
            <w:tcW w:w="6095" w:type="dxa"/>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8.法律、法规、规章规定的其他应履行的责任事项。</w:t>
            </w:r>
          </w:p>
        </w:tc>
        <w:tc>
          <w:tcPr>
            <w:tcW w:w="2465" w:type="dxa"/>
            <w:vMerge w:val="continue"/>
            <w:tcBorders>
              <w:bottom w:val="single" w:color="auto" w:sz="4" w:space="0"/>
            </w:tcBorders>
            <w:noWrap w:val="0"/>
            <w:vAlign w:val="top"/>
          </w:tcPr>
          <w:p>
            <w:pPr>
              <w:spacing w:line="280" w:lineRule="exac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 w:hRule="atLeast"/>
          <w:jc w:val="center"/>
        </w:trPr>
        <w:tc>
          <w:tcPr>
            <w:tcW w:w="13892" w:type="dxa"/>
            <w:gridSpan w:val="5"/>
            <w:tcBorders>
              <w:bottom w:val="single" w:color="auto" w:sz="4" w:space="0"/>
            </w:tcBorders>
            <w:noWrap w:val="0"/>
            <w:vAlign w:val="center"/>
          </w:tcPr>
          <w:p>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服务电话：</w:t>
            </w:r>
            <w:r>
              <w:rPr>
                <w:rFonts w:ascii="仿宋_GB2312" w:hAnsi="宋体" w:eastAsia="仿宋_GB2312"/>
                <w:color w:val="000000"/>
                <w:szCs w:val="21"/>
              </w:rPr>
              <w:t>0375-2978958</w:t>
            </w:r>
            <w:r>
              <w:rPr>
                <w:rFonts w:hint="eastAsia" w:ascii="仿宋_GB2312" w:hAnsi="宋体" w:eastAsia="仿宋_GB2312"/>
                <w:color w:val="000000"/>
                <w:szCs w:val="21"/>
              </w:rPr>
              <w:t xml:space="preserve"> 投诉机构：市纪委监委驻市发改委纪检监察组 投诉电话：</w:t>
            </w:r>
            <w:r>
              <w:rPr>
                <w:rFonts w:ascii="仿宋_GB2312" w:hAnsi="宋体" w:eastAsia="仿宋_GB2312"/>
                <w:color w:val="000000"/>
                <w:szCs w:val="21"/>
              </w:rPr>
              <w:t>0375-2639915</w:t>
            </w:r>
            <w:r>
              <w:rPr>
                <w:rFonts w:hint="eastAsia" w:ascii="仿宋_GB2312" w:hAnsi="宋体" w:eastAsia="仿宋_GB2312"/>
                <w:color w:val="000000"/>
                <w:szCs w:val="21"/>
              </w:rPr>
              <w:t xml:space="preserve"> 服务地点：平顶山平发产业孵化新城（新城区夏耘路与滍阳路交叉口东北角）2号楼</w:t>
            </w:r>
          </w:p>
        </w:tc>
      </w:tr>
    </w:tbl>
    <w:p>
      <w:pPr>
        <w:spacing w:line="560" w:lineRule="exact"/>
        <w:rPr>
          <w:rFonts w:hint="eastAsia" w:ascii="仿宋_GB2312" w:eastAsia="仿宋_GB2312"/>
          <w:sz w:val="32"/>
          <w:szCs w:val="32"/>
        </w:rPr>
      </w:pPr>
    </w:p>
    <w:sectPr>
      <w:headerReference r:id="rId3" w:type="default"/>
      <w:footerReference r:id="rId5" w:type="default"/>
      <w:headerReference r:id="rId4" w:type="even"/>
      <w:footerReference r:id="rId6" w:type="even"/>
      <w:pgSz w:w="16838" w:h="11906" w:orient="landscape"/>
      <w:pgMar w:top="1588" w:right="1985" w:bottom="1474" w:left="1985"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E00002FF" w:usb1="400004FF" w:usb2="00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0D"/>
    <w:rsid w:val="000059E8"/>
    <w:rsid w:val="001B1776"/>
    <w:rsid w:val="004131B4"/>
    <w:rsid w:val="00C76C59"/>
    <w:rsid w:val="00E97140"/>
    <w:rsid w:val="00EA2DF7"/>
    <w:rsid w:val="DD3F9188"/>
    <w:rsid w:val="EF9F1114"/>
    <w:rsid w:val="FBFF0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1"/>
    <w:next w:val="1"/>
    <w:link w:val="13"/>
    <w:qFormat/>
    <w:uiPriority w:val="0"/>
    <w:pPr>
      <w:keepNext/>
      <w:keepLines/>
      <w:widowControl/>
      <w:adjustRightInd w:val="0"/>
      <w:snapToGrid w:val="0"/>
      <w:spacing w:before="260" w:beforeLines="0" w:after="260" w:afterLines="0" w:line="416" w:lineRule="auto"/>
      <w:jc w:val="left"/>
      <w:outlineLvl w:val="1"/>
    </w:pPr>
    <w:rPr>
      <w:rFonts w:ascii="Cambria" w:hAnsi="Cambria" w:eastAsia="宋体"/>
      <w:b/>
      <w:bCs/>
      <w:sz w:val="32"/>
      <w:szCs w:val="32"/>
      <w:lang w:val="en-US" w:eastAsia="zh-CN" w:bidi="ar-SA"/>
    </w:rPr>
  </w:style>
  <w:style w:type="character" w:default="1" w:styleId="10">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3">
    <w:name w:val="HTML Address"/>
    <w:basedOn w:val="1"/>
    <w:link w:val="14"/>
    <w:uiPriority w:val="0"/>
    <w:pPr>
      <w:widowControl/>
      <w:spacing w:before="100" w:beforeLines="0" w:beforeAutospacing="1" w:after="100" w:afterLines="0" w:afterAutospacing="1"/>
      <w:jc w:val="left"/>
    </w:pPr>
    <w:rPr>
      <w:rFonts w:ascii="宋体" w:hAnsi="宋体" w:eastAsia="宋体" w:cs="宋体"/>
      <w:sz w:val="24"/>
      <w:szCs w:val="24"/>
    </w:rPr>
  </w:style>
  <w:style w:type="paragraph" w:styleId="4">
    <w:name w:val="Date"/>
    <w:basedOn w:val="1"/>
    <w:next w:val="1"/>
    <w:uiPriority w:val="0"/>
    <w:pPr>
      <w:ind w:left="100" w:leftChars="2500"/>
    </w:pPr>
    <w:rPr>
      <w:sz w:val="32"/>
      <w:szCs w:val="24"/>
    </w:rPr>
  </w:style>
  <w:style w:type="paragraph" w:styleId="5">
    <w:name w:val="Balloon Text"/>
    <w:basedOn w:val="1"/>
    <w:uiPriority w:val="0"/>
    <w:rPr>
      <w:sz w:val="18"/>
      <w:szCs w:val="18"/>
    </w:rPr>
  </w:style>
  <w:style w:type="paragraph" w:styleId="6">
    <w:name w:val="footer"/>
    <w:basedOn w:val="1"/>
    <w:link w:val="15"/>
    <w:uiPriority w:val="0"/>
    <w:pPr>
      <w:tabs>
        <w:tab w:val="center" w:pos="4153"/>
        <w:tab w:val="right" w:pos="8306"/>
      </w:tabs>
      <w:snapToGrid w:val="0"/>
      <w:jc w:val="left"/>
    </w:pPr>
    <w:rPr>
      <w:kern w:val="2"/>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kern w:val="2"/>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1">
    <w:name w:val="page number"/>
    <w:basedOn w:val="10"/>
    <w:uiPriority w:val="0"/>
  </w:style>
  <w:style w:type="character" w:styleId="12">
    <w:name w:val="Hyperlink"/>
    <w:basedOn w:val="10"/>
    <w:uiPriority w:val="0"/>
    <w:rPr>
      <w:color w:val="0000FF"/>
      <w:u w:val="single"/>
    </w:rPr>
  </w:style>
  <w:style w:type="character" w:customStyle="1" w:styleId="13">
    <w:name w:val="标题 2 Char"/>
    <w:basedOn w:val="10"/>
    <w:link w:val="2"/>
    <w:uiPriority w:val="0"/>
    <w:rPr>
      <w:rFonts w:ascii="Cambria" w:hAnsi="Cambria" w:eastAsia="宋体"/>
      <w:b/>
      <w:bCs/>
      <w:sz w:val="32"/>
      <w:szCs w:val="32"/>
      <w:lang w:val="en-US" w:eastAsia="zh-CN" w:bidi="ar-SA"/>
    </w:rPr>
  </w:style>
  <w:style w:type="character" w:customStyle="1" w:styleId="14">
    <w:name w:val="HTML 地址 Char"/>
    <w:basedOn w:val="10"/>
    <w:link w:val="3"/>
    <w:uiPriority w:val="0"/>
    <w:rPr>
      <w:rFonts w:ascii="宋体" w:hAnsi="宋体" w:eastAsia="宋体" w:cs="宋体"/>
      <w:sz w:val="24"/>
      <w:szCs w:val="24"/>
    </w:rPr>
  </w:style>
  <w:style w:type="character" w:customStyle="1" w:styleId="15">
    <w:name w:val="页脚 Char"/>
    <w:basedOn w:val="10"/>
    <w:link w:val="6"/>
    <w:uiPriority w:val="0"/>
    <w:rPr>
      <w:kern w:val="2"/>
      <w:sz w:val="18"/>
      <w:szCs w:val="18"/>
    </w:rPr>
  </w:style>
  <w:style w:type="character" w:customStyle="1" w:styleId="16">
    <w:name w:val="页眉 Char"/>
    <w:basedOn w:val="10"/>
    <w:link w:val="7"/>
    <w:uiPriority w:val="0"/>
    <w:rPr>
      <w:kern w:val="2"/>
      <w:sz w:val="18"/>
      <w:szCs w:val="18"/>
    </w:rPr>
  </w:style>
  <w:style w:type="character" w:customStyle="1" w:styleId="17">
    <w:name w:val="15"/>
    <w:basedOn w:val="10"/>
    <w:uiPriority w:val="0"/>
  </w:style>
  <w:style w:type="character" w:customStyle="1" w:styleId="18">
    <w:name w:val="页脚 Char Char"/>
    <w:basedOn w:val="10"/>
    <w:uiPriority w:val="0"/>
    <w:rPr>
      <w:rFonts w:ascii="Calibri" w:hAnsi="Calibri" w:eastAsia="宋体" w:cs="Times New Roman"/>
      <w:kern w:val="2"/>
      <w:sz w:val="18"/>
      <w:szCs w:val="18"/>
    </w:rPr>
  </w:style>
  <w:style w:type="character" w:customStyle="1" w:styleId="19">
    <w:name w:val="HTML 地址 Char1"/>
    <w:basedOn w:val="10"/>
    <w:uiPriority w:val="0"/>
    <w:rPr>
      <w:i/>
      <w:iCs/>
    </w:rPr>
  </w:style>
  <w:style w:type="paragraph" w:customStyle="1" w:styleId="20">
    <w:name w:val="正文 New New New New New New New New New New"/>
    <w:uiPriority w:val="0"/>
    <w:pPr>
      <w:overflowPunct w:val="0"/>
      <w:autoSpaceDE w:val="0"/>
      <w:autoSpaceDN w:val="0"/>
      <w:adjustRightInd w:val="0"/>
      <w:jc w:val="both"/>
      <w:textAlignment w:val="baseline"/>
    </w:pPr>
    <w:rPr>
      <w:rFonts w:ascii="Times New Roman" w:hAnsi="Times New Roman"/>
      <w:sz w:val="21"/>
      <w:lang w:val="en-US" w:eastAsia="zh-CN" w:bidi="ar-SA"/>
    </w:rPr>
  </w:style>
  <w:style w:type="paragraph" w:customStyle="1" w:styleId="21">
    <w:name w:val="正文 New New New New New New New New"/>
    <w:uiPriority w:val="0"/>
    <w:pPr>
      <w:widowControl w:val="0"/>
      <w:jc w:val="both"/>
    </w:pPr>
    <w:rPr>
      <w:rFonts w:ascii="Times New Roman" w:hAnsi="Times New Roman"/>
      <w:kern w:val="2"/>
      <w:sz w:val="21"/>
      <w:szCs w:val="24"/>
      <w:lang w:val="en-US" w:eastAsia="zh-CN" w:bidi="ar-SA"/>
    </w:rPr>
  </w:style>
  <w:style w:type="paragraph" w:customStyle="1" w:styleId="22">
    <w:name w:val="正文 New New New New New New New New New New New New"/>
    <w:uiPriority w:val="0"/>
    <w:pPr>
      <w:widowControl w:val="0"/>
      <w:jc w:val="both"/>
    </w:pPr>
    <w:rPr>
      <w:kern w:val="2"/>
      <w:sz w:val="21"/>
      <w:szCs w:val="22"/>
      <w:lang w:val="en-US" w:eastAsia="zh-CN" w:bidi="ar-SA"/>
    </w:rPr>
  </w:style>
  <w:style w:type="paragraph" w:customStyle="1" w:styleId="23">
    <w:name w:val="正文 New New New New New New New New New New New New New New"/>
    <w:uiPriority w:val="0"/>
    <w:pPr>
      <w:widowControl w:val="0"/>
      <w:jc w:val="both"/>
    </w:pPr>
    <w:rPr>
      <w:rFonts w:ascii="Times New Roman" w:hAnsi="Times New Roman"/>
      <w:kern w:val="2"/>
      <w:sz w:val="21"/>
      <w:lang w:val="en-US" w:eastAsia="zh-CN" w:bidi="ar-SA"/>
    </w:rPr>
  </w:style>
  <w:style w:type="paragraph" w:customStyle="1" w:styleId="24">
    <w:name w:val="正文 New New New New New New New New New New New New New"/>
    <w:uiPriority w:val="0"/>
    <w:pPr>
      <w:widowControl w:val="0"/>
      <w:jc w:val="both"/>
    </w:pPr>
    <w:rPr>
      <w:rFonts w:ascii="Times New Roman" w:hAnsi="Times New Roman"/>
      <w:kern w:val="2"/>
      <w:sz w:val="21"/>
      <w:lang w:val="en-US" w:eastAsia="zh-CN" w:bidi="ar-SA"/>
    </w:rPr>
  </w:style>
  <w:style w:type="paragraph" w:customStyle="1" w:styleId="25">
    <w:name w:val="正文 New New New New New New New New New"/>
    <w:uiPriority w:val="0"/>
    <w:pPr>
      <w:widowControl w:val="0"/>
      <w:jc w:val="both"/>
    </w:pPr>
    <w:rPr>
      <w:rFonts w:ascii="Times New Roman" w:hAnsi="Times New Roman"/>
      <w:kern w:val="2"/>
      <w:sz w:val="21"/>
      <w:szCs w:val="24"/>
      <w:lang w:val="en-US" w:eastAsia="zh-CN" w:bidi="ar-SA"/>
    </w:rPr>
  </w:style>
  <w:style w:type="paragraph" w:customStyle="1" w:styleId="26">
    <w:name w:val="正文 New New New New New New New New New New New New New New New New New New New New New"/>
    <w:uiPriority w:val="0"/>
    <w:pPr>
      <w:widowControl w:val="0"/>
      <w:jc w:val="both"/>
    </w:pPr>
    <w:rPr>
      <w:rFonts w:ascii="Times New Roman" w:hAnsi="Times New Roman"/>
      <w:kern w:val="2"/>
      <w:sz w:val="21"/>
      <w:szCs w:val="24"/>
      <w:lang w:val="en-US" w:eastAsia="zh-CN" w:bidi="ar-SA"/>
    </w:rPr>
  </w:style>
  <w:style w:type="paragraph" w:customStyle="1" w:styleId="27">
    <w:name w:val="正文 New New New New New New New New New New New New New New New New New New New New New New New"/>
    <w:uiPriority w:val="0"/>
    <w:pPr>
      <w:overflowPunct w:val="0"/>
      <w:autoSpaceDE w:val="0"/>
      <w:autoSpaceDN w:val="0"/>
      <w:adjustRightInd w:val="0"/>
      <w:jc w:val="both"/>
      <w:textAlignment w:val="baseline"/>
    </w:pPr>
    <w:rPr>
      <w:rFonts w:ascii="Times New Roman" w:hAnsi="Times New Roman"/>
      <w:sz w:val="21"/>
      <w:lang w:val="en-US" w:eastAsia="zh-CN" w:bidi="ar-SA"/>
    </w:rPr>
  </w:style>
  <w:style w:type="paragraph" w:customStyle="1" w:styleId="28">
    <w:name w:val="正文 New New"/>
    <w:uiPriority w:val="0"/>
    <w:pPr>
      <w:widowControl w:val="0"/>
      <w:jc w:val="both"/>
    </w:pPr>
    <w:rPr>
      <w:rFonts w:ascii="Times New Roman" w:hAnsi="Times New Roman"/>
      <w:kern w:val="2"/>
      <w:sz w:val="21"/>
      <w:szCs w:val="24"/>
      <w:lang w:val="en-US" w:eastAsia="zh-CN" w:bidi="ar-SA"/>
    </w:rPr>
  </w:style>
  <w:style w:type="paragraph" w:customStyle="1" w:styleId="29">
    <w:name w:val="正文 New New New"/>
    <w:uiPriority w:val="0"/>
    <w:pPr>
      <w:widowControl w:val="0"/>
      <w:jc w:val="both"/>
    </w:pPr>
    <w:rPr>
      <w:rFonts w:ascii="Times New Roman" w:hAnsi="Times New Roman"/>
      <w:kern w:val="2"/>
      <w:sz w:val="21"/>
      <w:lang w:val="en-US" w:eastAsia="zh-CN" w:bidi="ar-SA"/>
    </w:rPr>
  </w:style>
  <w:style w:type="paragraph" w:customStyle="1" w:styleId="30">
    <w:name w:val="正文 New New New New New"/>
    <w:uiPriority w:val="0"/>
    <w:pPr>
      <w:widowControl w:val="0"/>
      <w:jc w:val="both"/>
    </w:pPr>
    <w:rPr>
      <w:rFonts w:ascii="Times New Roman" w:hAnsi="Times New Roman"/>
      <w:kern w:val="2"/>
      <w:sz w:val="21"/>
      <w:lang w:val="en-US" w:eastAsia="zh-CN" w:bidi="ar-SA"/>
    </w:rPr>
  </w:style>
  <w:style w:type="paragraph" w:customStyle="1" w:styleId="31">
    <w:name w:val="正文 New"/>
    <w:uiPriority w:val="0"/>
    <w:pPr>
      <w:widowControl w:val="0"/>
      <w:jc w:val="both"/>
    </w:pPr>
    <w:rPr>
      <w:rFonts w:ascii="Times New Roman" w:hAnsi="Times New Roman"/>
      <w:kern w:val="2"/>
      <w:sz w:val="21"/>
      <w:szCs w:val="24"/>
      <w:lang w:val="en-US" w:eastAsia="zh-CN" w:bidi="ar-SA"/>
    </w:rPr>
  </w:style>
  <w:style w:type="paragraph" w:customStyle="1" w:styleId="32">
    <w:name w:val="正文 New New New New New New New New New New New New New New New"/>
    <w:uiPriority w:val="0"/>
    <w:pPr>
      <w:widowControl w:val="0"/>
      <w:jc w:val="both"/>
    </w:pPr>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1953</Words>
  <Characters>11133</Characters>
  <Lines>92</Lines>
  <Paragraphs>26</Paragraphs>
  <TotalTime>3.33333333333333</TotalTime>
  <ScaleCrop>false</ScaleCrop>
  <LinksUpToDate>false</LinksUpToDate>
  <CharactersWithSpaces>13060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2019-11-07T19:38:00Z</dcterms:created>
  <dc:creator>Administrator</dc:creator>
  <cp:lastModifiedBy>greatwall</cp:lastModifiedBy>
  <cp:lastPrinted>2021-11-05T19:39:00Z</cp:lastPrinted>
  <dcterms:modified xsi:type="dcterms:W3CDTF">2025-12-16T09:02:17Z</dcterms:modified>
  <dc:title>平法政办〔2017〕20号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061DDE457D2A708E42B440690F70751F_42</vt:lpwstr>
  </property>
</Properties>
</file>